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9A" w:rsidRPr="00133FC8" w:rsidRDefault="00A9669A" w:rsidP="004910FA">
      <w:pPr>
        <w:rPr>
          <w:rStyle w:val="Rfrenceintense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7621"/>
        <w:gridCol w:w="6946"/>
        <w:gridCol w:w="567"/>
        <w:gridCol w:w="567"/>
      </w:tblGrid>
      <w:tr w:rsidR="003A109D" w:rsidRPr="00A9669A" w:rsidTr="003A109D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9669A" w:rsidRPr="00A9669A" w:rsidRDefault="003A109D" w:rsidP="0091149D">
            <w:pPr>
              <w:jc w:val="center"/>
            </w:pPr>
            <w:bookmarkStart w:id="0" w:name="_GoBack"/>
            <w:r w:rsidRPr="00133FC8">
              <w:rPr>
                <w:rStyle w:val="Rfrenceintense"/>
              </w:rPr>
              <w:t>Déroulement type d’une séance de LVE</w:t>
            </w:r>
            <w:r>
              <w:rPr>
                <w:rStyle w:val="Rfrenceintense"/>
              </w:rPr>
              <w:t xml:space="preserve"> CAP A2 </w:t>
            </w:r>
            <w:proofErr w:type="gramStart"/>
            <w:r>
              <w:rPr>
                <w:rStyle w:val="Rfrenceintense"/>
              </w:rPr>
              <w:t>:  lundi</w:t>
            </w:r>
            <w:proofErr w:type="gramEnd"/>
            <w:r>
              <w:rPr>
                <w:rStyle w:val="Rfrenceintense"/>
              </w:rPr>
              <w:t>-mardi-jeudi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30mn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9669A" w:rsidRPr="00A9669A" w:rsidRDefault="00A9669A" w:rsidP="0091149D">
            <w:proofErr w:type="spellStart"/>
            <w:r w:rsidRPr="00A9669A">
              <w:t>lgg</w:t>
            </w:r>
            <w:proofErr w:type="spellEnd"/>
          </w:p>
        </w:tc>
      </w:tr>
      <w:tr w:rsidR="003A109D" w:rsidRPr="00A9669A" w:rsidTr="004910FA">
        <w:tc>
          <w:tcPr>
            <w:tcW w:w="7621" w:type="dxa"/>
          </w:tcPr>
          <w:p w:rsidR="00A9669A" w:rsidRPr="003A109D" w:rsidRDefault="00A9669A" w:rsidP="0091149D">
            <w:r w:rsidRPr="003A109D">
              <w:t>Objectifs langagiers dits et affichés</w:t>
            </w:r>
          </w:p>
          <w:p w:rsidR="00A9669A" w:rsidRPr="00A9669A" w:rsidRDefault="003A109D" w:rsidP="0091149D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</w:t>
            </w:r>
            <w:r w:rsidR="00A9669A" w:rsidRPr="00A9669A">
              <w:rPr>
                <w:color w:val="948A54" w:themeColor="background2" w:themeShade="80"/>
                <w:sz w:val="20"/>
                <w:szCs w:val="20"/>
                <w:lang w:val="en-US"/>
              </w:rPr>
              <w:t>« I know, I can say, I can ask, I can answer…”+ themes (numbers, instructions…)</w:t>
            </w:r>
          </w:p>
        </w:tc>
        <w:tc>
          <w:tcPr>
            <w:tcW w:w="6946" w:type="dxa"/>
          </w:tcPr>
          <w:p w:rsidR="00A9669A" w:rsidRPr="00A9669A" w:rsidRDefault="00A9669A" w:rsidP="0091149D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"/>
          </w:tcPr>
          <w:p w:rsidR="00A9669A" w:rsidRPr="00A9669A" w:rsidRDefault="00A9669A" w:rsidP="0091149D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3A109D" w:rsidRPr="00A9669A" w:rsidTr="004910FA">
        <w:tc>
          <w:tcPr>
            <w:tcW w:w="7621" w:type="dxa"/>
          </w:tcPr>
          <w:p w:rsidR="00A9669A" w:rsidRDefault="00A9669A" w:rsidP="0091149D">
            <w:pPr>
              <w:rPr>
                <w:lang w:val="en-US"/>
              </w:rPr>
            </w:pPr>
            <w:proofErr w:type="spellStart"/>
            <w:r w:rsidRPr="00A9669A">
              <w:rPr>
                <w:lang w:val="en-US"/>
              </w:rPr>
              <w:t>Objectifs</w:t>
            </w:r>
            <w:proofErr w:type="spellEnd"/>
            <w:r w:rsidRPr="00A9669A">
              <w:rPr>
                <w:lang w:val="en-US"/>
              </w:rPr>
              <w:t xml:space="preserve"> </w:t>
            </w:r>
            <w:proofErr w:type="spellStart"/>
            <w:r w:rsidRPr="00A9669A">
              <w:rPr>
                <w:lang w:val="en-US"/>
              </w:rPr>
              <w:t>répétés</w:t>
            </w:r>
            <w:proofErr w:type="spellEnd"/>
          </w:p>
          <w:p w:rsidR="00A9669A" w:rsidRPr="00A9669A" w:rsidRDefault="00A9669A" w:rsidP="0091149D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6946" w:type="dxa"/>
          </w:tcPr>
          <w:p w:rsidR="00A9669A" w:rsidRPr="00A9669A" w:rsidRDefault="00A9669A" w:rsidP="0091149D"/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rPr>
                <w:highlight w:val="yellow"/>
              </w:rPr>
            </w:pPr>
          </w:p>
        </w:tc>
      </w:tr>
      <w:tr w:rsidR="003A109D" w:rsidRPr="00A9669A" w:rsidTr="004910FA">
        <w:trPr>
          <w:trHeight w:val="1159"/>
        </w:trPr>
        <w:tc>
          <w:tcPr>
            <w:tcW w:w="7621" w:type="dxa"/>
          </w:tcPr>
          <w:p w:rsidR="00A9669A" w:rsidRPr="00A9669A" w:rsidRDefault="00A9669A" w:rsidP="0091149D">
            <w:r w:rsidRPr="00A9669A">
              <w:t>Présentation du contenu en lien avec DNL :</w:t>
            </w:r>
          </w:p>
          <w:p w:rsidR="00A9669A" w:rsidRDefault="00A9669A" w:rsidP="00A9669A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A9669A" w:rsidRPr="00A9669A" w:rsidRDefault="00A9669A" w:rsidP="00A9669A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see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 …</w:t>
            </w:r>
          </w:p>
          <w:p w:rsidR="00A9669A" w:rsidRPr="00A9669A" w:rsidRDefault="00A9669A" w:rsidP="00A9669A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6946" w:type="dxa"/>
          </w:tcPr>
          <w:p w:rsidR="00A9669A" w:rsidRPr="00A9669A" w:rsidRDefault="00A9669A" w:rsidP="0091149D"/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rPr>
                <w:highlight w:val="lightGray"/>
                <w:lang w:val="en-US"/>
              </w:rPr>
            </w:pPr>
          </w:p>
        </w:tc>
      </w:tr>
      <w:tr w:rsidR="003A109D" w:rsidRPr="00A9669A" w:rsidTr="004910FA">
        <w:trPr>
          <w:trHeight w:val="1261"/>
        </w:trPr>
        <w:tc>
          <w:tcPr>
            <w:tcW w:w="7621" w:type="dxa"/>
          </w:tcPr>
          <w:p w:rsidR="00A9669A" w:rsidRDefault="00A9669A" w:rsidP="00A9669A">
            <w:r w:rsidRPr="00A9669A">
              <w:t>Mani</w:t>
            </w:r>
            <w:r>
              <w:t>pulation et appropriation du contenu</w:t>
            </w:r>
          </w:p>
          <w:p w:rsidR="00A9669A" w:rsidRPr="00A9669A" w:rsidRDefault="00A9669A" w:rsidP="00A9669A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t xml:space="preserve">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A9669A" w:rsidRPr="00A9669A" w:rsidRDefault="00A9669A" w:rsidP="00A9669A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TPS-Teach, back to back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6946" w:type="dxa"/>
          </w:tcPr>
          <w:p w:rsidR="00A9669A" w:rsidRPr="00A9669A" w:rsidRDefault="00A9669A" w:rsidP="0091149D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rPr>
                <w:highlight w:val="yellow"/>
              </w:rPr>
            </w:pPr>
          </w:p>
        </w:tc>
      </w:tr>
      <w:tr w:rsidR="003A109D" w:rsidRPr="00A9669A" w:rsidTr="004910FA">
        <w:tc>
          <w:tcPr>
            <w:tcW w:w="7621" w:type="dxa"/>
          </w:tcPr>
          <w:p w:rsidR="00A9669A" w:rsidRDefault="00A9669A" w:rsidP="0091149D">
            <w:r w:rsidRPr="00A9669A">
              <w:t>Manipulation et appropriation du contenu (entrée visuelle)</w:t>
            </w:r>
          </w:p>
          <w:p w:rsidR="00A9669A" w:rsidRPr="00A9669A" w:rsidRDefault="00A9669A" w:rsidP="00A9669A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I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read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» </w:t>
            </w:r>
          </w:p>
          <w:p w:rsidR="00A9669A" w:rsidRPr="00A9669A" w:rsidRDefault="00A9669A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 élèves (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/PE et E devant la classe/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release)</w:t>
            </w:r>
          </w:p>
        </w:tc>
        <w:tc>
          <w:tcPr>
            <w:tcW w:w="6946" w:type="dxa"/>
          </w:tcPr>
          <w:p w:rsidR="00A9669A" w:rsidRPr="00A9669A" w:rsidRDefault="00A9669A" w:rsidP="0091149D"/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2mn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rPr>
                <w:highlight w:val="lightGray"/>
                <w:lang w:val="en-US"/>
              </w:rPr>
            </w:pPr>
          </w:p>
        </w:tc>
      </w:tr>
      <w:tr w:rsidR="003A109D" w:rsidRPr="00A9669A" w:rsidTr="004910FA">
        <w:tc>
          <w:tcPr>
            <w:tcW w:w="7621" w:type="dxa"/>
          </w:tcPr>
          <w:p w:rsidR="00A9669A" w:rsidRPr="00A9669A" w:rsidRDefault="00A9669A" w:rsidP="0091149D">
            <w:r w:rsidRPr="00A9669A">
              <w:t>Manipulation et appropriation du contenu (entrée visuelle)</w:t>
            </w:r>
          </w:p>
          <w:p w:rsidR="00A9669A" w:rsidRPr="00A9669A" w:rsidRDefault="00A9669A" w:rsidP="0091149D">
            <w:pPr>
              <w:rPr>
                <w:lang w:val="en-US"/>
              </w:rPr>
            </w:pP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Elèves-élèves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: read to your partner thumb up/down</w:t>
            </w:r>
          </w:p>
        </w:tc>
        <w:tc>
          <w:tcPr>
            <w:tcW w:w="6946" w:type="dxa"/>
          </w:tcPr>
          <w:p w:rsidR="00A9669A" w:rsidRPr="00A9669A" w:rsidRDefault="00A9669A" w:rsidP="0091149D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rPr>
                <w:highlight w:val="yellow"/>
                <w:lang w:val="en-US"/>
              </w:rPr>
            </w:pPr>
          </w:p>
        </w:tc>
      </w:tr>
      <w:tr w:rsidR="003A109D" w:rsidRPr="00A9669A" w:rsidTr="003A109D">
        <w:tc>
          <w:tcPr>
            <w:tcW w:w="14567" w:type="dxa"/>
            <w:gridSpan w:val="2"/>
          </w:tcPr>
          <w:p w:rsidR="00A9669A" w:rsidRPr="00A9669A" w:rsidRDefault="00A9669A" w:rsidP="003A109D">
            <w:pPr>
              <w:jc w:val="center"/>
            </w:pPr>
            <w:r w:rsidRPr="00A9669A">
              <w:t>Pause/</w:t>
            </w:r>
            <w:proofErr w:type="spellStart"/>
            <w:r w:rsidRPr="00A9669A">
              <w:t>rebrassage</w:t>
            </w:r>
            <w:proofErr w:type="spellEnd"/>
            <w:r w:rsidRPr="00A9669A">
              <w:t>/ compréhension audio</w:t>
            </w:r>
            <w:r w:rsidR="003A109D">
              <w:t xml:space="preserve"> : </w:t>
            </w:r>
            <w:r w:rsidRPr="00A9669A">
              <w:t xml:space="preserve"> </w:t>
            </w: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3mn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9669A" w:rsidRPr="00A9669A" w:rsidRDefault="00A9669A" w:rsidP="0091149D">
            <w:pPr>
              <w:rPr>
                <w:highlight w:val="yellow"/>
              </w:rPr>
            </w:pPr>
          </w:p>
        </w:tc>
      </w:tr>
      <w:tr w:rsidR="003A109D" w:rsidRPr="00A9669A" w:rsidTr="004910FA">
        <w:tc>
          <w:tcPr>
            <w:tcW w:w="7621" w:type="dxa"/>
          </w:tcPr>
          <w:p w:rsidR="00A9669A" w:rsidRDefault="00A9669A" w:rsidP="0091149D">
            <w:r w:rsidRPr="00A9669A">
              <w:t>Présentation du contenu de l’anglais de classe</w:t>
            </w:r>
          </w:p>
          <w:p w:rsidR="003A109D" w:rsidRDefault="003A109D" w:rsidP="003A10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3A109D" w:rsidRPr="00A9669A" w:rsidRDefault="003A109D" w:rsidP="003A10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disagree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wh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(x4)…</w:t>
            </w:r>
          </w:p>
          <w:p w:rsidR="003A109D" w:rsidRPr="00A9669A" w:rsidRDefault="003A109D" w:rsidP="003A109D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6946" w:type="dxa"/>
          </w:tcPr>
          <w:p w:rsidR="00A9669A" w:rsidRPr="00A9669A" w:rsidRDefault="00A9669A" w:rsidP="0091149D"/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"/>
          </w:tcPr>
          <w:p w:rsidR="00A9669A" w:rsidRPr="00A9669A" w:rsidRDefault="00A9669A" w:rsidP="0091149D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classroom</w:t>
            </w:r>
          </w:p>
        </w:tc>
      </w:tr>
      <w:tr w:rsidR="003A109D" w:rsidRPr="00A9669A" w:rsidTr="004910FA">
        <w:trPr>
          <w:trHeight w:val="947"/>
        </w:trPr>
        <w:tc>
          <w:tcPr>
            <w:tcW w:w="7621" w:type="dxa"/>
          </w:tcPr>
          <w:p w:rsidR="00A9669A" w:rsidRDefault="00A9669A" w:rsidP="0091149D">
            <w:r w:rsidRPr="00A9669A">
              <w:t>Manipulation et appropriation du contenu</w:t>
            </w:r>
          </w:p>
          <w:p w:rsidR="003A109D" w:rsidRPr="003A109D" w:rsidRDefault="003A109D" w:rsidP="003A109D">
            <w:pPr>
              <w:rPr>
                <w:lang w:val="en-US"/>
              </w:rPr>
            </w:pP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6946" w:type="dxa"/>
          </w:tcPr>
          <w:p w:rsidR="00A9669A" w:rsidRPr="00A9669A" w:rsidRDefault="00A9669A" w:rsidP="0091149D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A109D" w:rsidRPr="00A9669A" w:rsidTr="004910FA">
        <w:trPr>
          <w:trHeight w:val="865"/>
        </w:trPr>
        <w:tc>
          <w:tcPr>
            <w:tcW w:w="7621" w:type="dxa"/>
          </w:tcPr>
          <w:p w:rsidR="00A9669A" w:rsidRPr="00A9669A" w:rsidRDefault="00A9669A" w:rsidP="0091149D">
            <w:r w:rsidRPr="00A9669A">
              <w:t>Manipulation et appropriation du contenu (entrée visuelle)</w:t>
            </w:r>
          </w:p>
          <w:p w:rsidR="00A9669A" w:rsidRPr="00A9669A" w:rsidRDefault="003A109D" w:rsidP="0091149D"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6946" w:type="dxa"/>
          </w:tcPr>
          <w:p w:rsidR="00A9669A" w:rsidRPr="00A9669A" w:rsidRDefault="00A9669A" w:rsidP="0091149D"/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2mn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A109D" w:rsidRPr="00A9669A" w:rsidTr="004910FA">
        <w:trPr>
          <w:trHeight w:val="737"/>
        </w:trPr>
        <w:tc>
          <w:tcPr>
            <w:tcW w:w="7621" w:type="dxa"/>
          </w:tcPr>
          <w:p w:rsidR="00A9669A" w:rsidRPr="00A9669A" w:rsidRDefault="00A9669A" w:rsidP="0091149D">
            <w:r w:rsidRPr="00A9669A">
              <w:t>Manipulation et appropriation du contenu (entrée visuelle)</w:t>
            </w:r>
          </w:p>
          <w:p w:rsidR="00A9669A" w:rsidRPr="003A109D" w:rsidRDefault="003A109D" w:rsidP="003A109D">
            <w:pPr>
              <w:rPr>
                <w:lang w:val="en-US"/>
              </w:rPr>
            </w:pPr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6946" w:type="dxa"/>
          </w:tcPr>
          <w:p w:rsidR="00A9669A" w:rsidRPr="00A9669A" w:rsidRDefault="00A9669A" w:rsidP="0091149D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A109D" w:rsidRPr="00A9669A" w:rsidTr="004910FA">
        <w:trPr>
          <w:trHeight w:val="423"/>
        </w:trPr>
        <w:tc>
          <w:tcPr>
            <w:tcW w:w="7621" w:type="dxa"/>
          </w:tcPr>
          <w:p w:rsidR="00A9669A" w:rsidRDefault="00A9669A" w:rsidP="0091149D">
            <w:r w:rsidRPr="00A9669A">
              <w:t>Clôture</w:t>
            </w:r>
          </w:p>
          <w:p w:rsidR="003A109D" w:rsidRPr="00A9669A" w:rsidRDefault="003A109D" w:rsidP="0091149D"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+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élèves“I</w:t>
            </w:r>
            <w:proofErr w:type="spellEnd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know, I can say… + themes” lecture chorale, mirror</w:t>
            </w:r>
          </w:p>
        </w:tc>
        <w:tc>
          <w:tcPr>
            <w:tcW w:w="6946" w:type="dxa"/>
          </w:tcPr>
          <w:p w:rsidR="00A9669A" w:rsidRPr="00A9669A" w:rsidRDefault="00A9669A" w:rsidP="0091149D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669A" w:rsidRPr="003A109D" w:rsidRDefault="00A9669A" w:rsidP="003A10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9669A" w:rsidRPr="00A9669A" w:rsidRDefault="00A9669A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bookmarkEnd w:id="0"/>
    </w:tbl>
    <w:p w:rsidR="004910FA" w:rsidRPr="004910FA" w:rsidRDefault="004910FA" w:rsidP="004910FA">
      <w:pPr>
        <w:rPr>
          <w:sz w:val="2"/>
          <w:szCs w:val="2"/>
        </w:rPr>
      </w:pPr>
    </w:p>
    <w:sectPr w:rsidR="004910FA" w:rsidRPr="004910FA" w:rsidSect="003A109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BE" w:rsidRDefault="00F92FBE" w:rsidP="004910FA">
      <w:pPr>
        <w:spacing w:after="0" w:line="240" w:lineRule="auto"/>
      </w:pPr>
      <w:r>
        <w:separator/>
      </w:r>
    </w:p>
  </w:endnote>
  <w:endnote w:type="continuationSeparator" w:id="0">
    <w:p w:rsidR="00F92FBE" w:rsidRDefault="00F92FBE" w:rsidP="0049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BE" w:rsidRDefault="00F92FBE" w:rsidP="004910FA">
      <w:pPr>
        <w:spacing w:after="0" w:line="240" w:lineRule="auto"/>
      </w:pPr>
      <w:r>
        <w:separator/>
      </w:r>
    </w:p>
  </w:footnote>
  <w:footnote w:type="continuationSeparator" w:id="0">
    <w:p w:rsidR="00F92FBE" w:rsidRDefault="00F92FBE" w:rsidP="0049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FA" w:rsidRDefault="004910FA">
    <w:pPr>
      <w:pStyle w:val="En-tte"/>
    </w:pPr>
    <w:r>
      <w:t xml:space="preserve">SEMAINE /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9"/>
    <w:rsid w:val="002170B3"/>
    <w:rsid w:val="003A109D"/>
    <w:rsid w:val="004910FA"/>
    <w:rsid w:val="004D161E"/>
    <w:rsid w:val="006E7C15"/>
    <w:rsid w:val="00713A69"/>
    <w:rsid w:val="00A9669A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A9669A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A9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0FA"/>
  </w:style>
  <w:style w:type="paragraph" w:styleId="Pieddepage">
    <w:name w:val="footer"/>
    <w:basedOn w:val="Normal"/>
    <w:link w:val="Pieddepag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A9669A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A9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0FA"/>
  </w:style>
  <w:style w:type="paragraph" w:styleId="Pieddepage">
    <w:name w:val="footer"/>
    <w:basedOn w:val="Normal"/>
    <w:link w:val="Pieddepag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Breney Jean-Noel</dc:creator>
  <cp:keywords/>
  <dc:description/>
  <cp:lastModifiedBy>Breney Jean-Noel</cp:lastModifiedBy>
  <cp:revision>2</cp:revision>
  <dcterms:created xsi:type="dcterms:W3CDTF">2020-02-10T13:44:00Z</dcterms:created>
  <dcterms:modified xsi:type="dcterms:W3CDTF">2020-02-10T14:20:00Z</dcterms:modified>
</cp:coreProperties>
</file>